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F17A" w14:textId="77D0B68F" w:rsidR="001C1934" w:rsidRDefault="00C16418" w:rsidP="001C1934">
      <w:pPr>
        <w:ind w:left="-1418"/>
        <w:rPr>
          <w:rFonts w:ascii="Gill Sans MT" w:eastAsia="Gill Sans MT" w:hAnsi="Gill Sans MT" w:cs="Gill Sans MT"/>
          <w:b/>
          <w:bCs/>
        </w:rPr>
      </w:pPr>
      <w:r w:rsidRPr="00406381">
        <w:rPr>
          <w:noProof/>
          <w:highlight w:val="darkRed"/>
        </w:rPr>
        <w:drawing>
          <wp:inline distT="0" distB="0" distL="0" distR="0" wp14:anchorId="31E61376" wp14:editId="108FE6A2">
            <wp:extent cx="2590800" cy="11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90800" cy="1114045"/>
                    </a:xfrm>
                    <a:prstGeom prst="rect">
                      <a:avLst/>
                    </a:prstGeom>
                  </pic:spPr>
                </pic:pic>
              </a:graphicData>
            </a:graphic>
          </wp:inline>
        </w:drawing>
      </w:r>
    </w:p>
    <w:p w14:paraId="04FA8B4D" w14:textId="77777777" w:rsidR="001C1934" w:rsidRDefault="001C1934" w:rsidP="001C1934">
      <w:pPr>
        <w:ind w:left="-1418"/>
        <w:rPr>
          <w:rFonts w:ascii="Gill Sans MT" w:eastAsia="Gill Sans MT" w:hAnsi="Gill Sans MT" w:cs="Gill Sans MT"/>
          <w:b/>
          <w:bCs/>
        </w:rPr>
      </w:pPr>
    </w:p>
    <w:p w14:paraId="1A102898" w14:textId="1BF8EB3B" w:rsidR="003E4DDE" w:rsidRPr="00832FDA" w:rsidRDefault="00C531A3" w:rsidP="451B7AF3">
      <w:pPr>
        <w:rPr>
          <w:rFonts w:ascii="Gill Sans MT" w:eastAsia="Gill Sans MT" w:hAnsi="Gill Sans MT" w:cs="Gill Sans MT"/>
          <w:b/>
          <w:bCs/>
        </w:rPr>
      </w:pPr>
      <w:r w:rsidRPr="451B7AF3">
        <w:rPr>
          <w:rFonts w:ascii="Gill Sans MT" w:eastAsia="Gill Sans MT" w:hAnsi="Gill Sans MT" w:cs="Gill Sans MT"/>
          <w:b/>
          <w:bCs/>
        </w:rPr>
        <w:t xml:space="preserve">Concept </w:t>
      </w:r>
      <w:r w:rsidR="00C84A98" w:rsidRPr="451B7AF3">
        <w:rPr>
          <w:rFonts w:ascii="Gill Sans MT" w:eastAsia="Gill Sans MT" w:hAnsi="Gill Sans MT" w:cs="Gill Sans MT"/>
          <w:b/>
          <w:bCs/>
        </w:rPr>
        <w:t>Note: First</w:t>
      </w:r>
      <w:r w:rsidR="0006543B" w:rsidRPr="451B7AF3">
        <w:rPr>
          <w:rFonts w:ascii="Gill Sans MT" w:eastAsia="Gill Sans MT" w:hAnsi="Gill Sans MT" w:cs="Gill Sans MT"/>
          <w:b/>
          <w:bCs/>
        </w:rPr>
        <w:t xml:space="preserve"> Regional Conference on Cultural Property Protection</w:t>
      </w:r>
    </w:p>
    <w:p w14:paraId="52F839BC" w14:textId="17CBB36C" w:rsidR="0006543B" w:rsidRPr="00832FDA" w:rsidRDefault="0006543B" w:rsidP="451B7AF3">
      <w:pPr>
        <w:rPr>
          <w:rFonts w:ascii="Gill Sans MT" w:eastAsia="Gill Sans MT" w:hAnsi="Gill Sans MT" w:cs="Gill Sans MT"/>
        </w:rPr>
      </w:pPr>
    </w:p>
    <w:p w14:paraId="443551DF" w14:textId="4C61B984" w:rsidR="0ECF807B" w:rsidRDefault="0ECF807B" w:rsidP="451B7AF3">
      <w:pPr>
        <w:spacing w:line="259" w:lineRule="auto"/>
        <w:rPr>
          <w:rFonts w:ascii="Gill Sans MT" w:eastAsia="Gill Sans MT" w:hAnsi="Gill Sans MT" w:cs="Gill Sans MT"/>
          <w:b/>
          <w:bCs/>
        </w:rPr>
      </w:pPr>
      <w:r w:rsidRPr="451B7AF3">
        <w:rPr>
          <w:rFonts w:ascii="Gill Sans MT" w:eastAsia="Gill Sans MT" w:hAnsi="Gill Sans MT" w:cs="Gill Sans MT"/>
          <w:b/>
          <w:bCs/>
        </w:rPr>
        <w:t>Background</w:t>
      </w:r>
    </w:p>
    <w:p w14:paraId="73E54E58" w14:textId="7CEF9CB3" w:rsidR="00C531A3" w:rsidRPr="00832FDA" w:rsidRDefault="00C531A3" w:rsidP="451B7AF3">
      <w:pPr>
        <w:rPr>
          <w:rFonts w:ascii="Gill Sans MT" w:eastAsia="Gill Sans MT" w:hAnsi="Gill Sans MT" w:cs="Gill Sans MT"/>
        </w:rPr>
      </w:pPr>
      <w:r w:rsidRPr="451B7AF3">
        <w:rPr>
          <w:rFonts w:ascii="Gill Sans MT" w:eastAsia="Gill Sans MT" w:hAnsi="Gill Sans MT" w:cs="Gill Sans MT"/>
        </w:rPr>
        <w:t xml:space="preserve">The international illicit trade in cultural property, specifically antiquities, is not only a major threat to the cultural heritage of the </w:t>
      </w:r>
      <w:r w:rsidR="41E7D640" w:rsidRPr="451B7AF3">
        <w:rPr>
          <w:rFonts w:ascii="Gill Sans MT" w:eastAsia="Gill Sans MT" w:hAnsi="Gill Sans MT" w:cs="Gill Sans MT"/>
        </w:rPr>
        <w:t>MEN</w:t>
      </w:r>
      <w:r w:rsidRPr="451B7AF3">
        <w:rPr>
          <w:rFonts w:ascii="Gill Sans MT" w:eastAsia="Gill Sans MT" w:hAnsi="Gill Sans MT" w:cs="Gill Sans MT"/>
        </w:rPr>
        <w:t xml:space="preserve">A region, </w:t>
      </w:r>
      <w:r w:rsidR="22609B0A" w:rsidRPr="451B7AF3">
        <w:rPr>
          <w:rFonts w:ascii="Gill Sans MT" w:eastAsia="Gill Sans MT" w:hAnsi="Gill Sans MT" w:cs="Gill Sans MT"/>
        </w:rPr>
        <w:t>but also</w:t>
      </w:r>
      <w:r w:rsidRPr="451B7AF3">
        <w:rPr>
          <w:rFonts w:ascii="Gill Sans MT" w:eastAsia="Gill Sans MT" w:hAnsi="Gill Sans MT" w:cs="Gill Sans MT"/>
        </w:rPr>
        <w:t xml:space="preserve"> a significant source of revenue for </w:t>
      </w:r>
      <w:r w:rsidR="003D7DE9" w:rsidRPr="451B7AF3">
        <w:rPr>
          <w:rFonts w:ascii="Gill Sans MT" w:eastAsia="Gill Sans MT" w:hAnsi="Gill Sans MT" w:cs="Gill Sans MT"/>
        </w:rPr>
        <w:t>radical</w:t>
      </w:r>
      <w:r w:rsidRPr="451B7AF3">
        <w:rPr>
          <w:rFonts w:ascii="Gill Sans MT" w:eastAsia="Gill Sans MT" w:hAnsi="Gill Sans MT" w:cs="Gill Sans MT"/>
        </w:rPr>
        <w:t xml:space="preserve"> organizations operating in the region.  While bilateral cultural property protection agreements are an important step to counter this trade, stronger collaboration among the countries of the region is </w:t>
      </w:r>
      <w:r w:rsidR="72A096C5" w:rsidRPr="451B7AF3">
        <w:rPr>
          <w:rFonts w:ascii="Gill Sans MT" w:eastAsia="Gill Sans MT" w:hAnsi="Gill Sans MT" w:cs="Gill Sans MT"/>
        </w:rPr>
        <w:t>needed</w:t>
      </w:r>
      <w:r w:rsidRPr="451B7AF3">
        <w:rPr>
          <w:rFonts w:ascii="Gill Sans MT" w:eastAsia="Gill Sans MT" w:hAnsi="Gill Sans MT" w:cs="Gill Sans MT"/>
        </w:rPr>
        <w:t xml:space="preserve"> to </w:t>
      </w:r>
      <w:r w:rsidR="464F146E" w:rsidRPr="451B7AF3">
        <w:rPr>
          <w:rFonts w:ascii="Gill Sans MT" w:eastAsia="Gill Sans MT" w:hAnsi="Gill Sans MT" w:cs="Gill Sans MT"/>
        </w:rPr>
        <w:t xml:space="preserve">better partner on </w:t>
      </w:r>
      <w:r w:rsidRPr="451B7AF3">
        <w:rPr>
          <w:rFonts w:ascii="Gill Sans MT" w:eastAsia="Gill Sans MT" w:hAnsi="Gill Sans MT" w:cs="Gill Sans MT"/>
        </w:rPr>
        <w:t>this issue.</w:t>
      </w:r>
    </w:p>
    <w:p w14:paraId="2BC61AAF" w14:textId="69FA6D36" w:rsidR="003D7DE9" w:rsidRPr="00832FDA" w:rsidRDefault="003D7DE9" w:rsidP="451B7AF3">
      <w:pPr>
        <w:rPr>
          <w:rFonts w:ascii="Gill Sans MT" w:eastAsia="Gill Sans MT" w:hAnsi="Gill Sans MT" w:cs="Gill Sans MT"/>
        </w:rPr>
      </w:pPr>
    </w:p>
    <w:p w14:paraId="4A5E9F11" w14:textId="4FAFEEBC" w:rsidR="00DC18E5" w:rsidRPr="00832FDA" w:rsidRDefault="003D7DE9" w:rsidP="451B7AF3">
      <w:pPr>
        <w:rPr>
          <w:rFonts w:ascii="Gill Sans MT" w:eastAsia="Gill Sans MT" w:hAnsi="Gill Sans MT" w:cs="Gill Sans MT"/>
        </w:rPr>
      </w:pPr>
      <w:r w:rsidRPr="7B9E642E">
        <w:rPr>
          <w:rFonts w:ascii="Gill Sans MT" w:eastAsia="Gill Sans MT" w:hAnsi="Gill Sans MT" w:cs="Gill Sans MT"/>
        </w:rPr>
        <w:t>In response to this</w:t>
      </w:r>
      <w:r w:rsidR="104C0027" w:rsidRPr="7B9E642E">
        <w:rPr>
          <w:rFonts w:ascii="Gill Sans MT" w:eastAsia="Gill Sans MT" w:hAnsi="Gill Sans MT" w:cs="Gill Sans MT"/>
        </w:rPr>
        <w:t xml:space="preserve">, </w:t>
      </w:r>
      <w:r w:rsidRPr="7B9E642E">
        <w:rPr>
          <w:rFonts w:ascii="Gill Sans MT" w:eastAsia="Gill Sans MT" w:hAnsi="Gill Sans MT" w:cs="Gill Sans MT"/>
        </w:rPr>
        <w:t>the American Research Center in Egypt</w:t>
      </w:r>
      <w:r w:rsidR="7AEF1F73" w:rsidRPr="7B9E642E">
        <w:rPr>
          <w:rFonts w:ascii="Gill Sans MT" w:eastAsia="Gill Sans MT" w:hAnsi="Gill Sans MT" w:cs="Gill Sans MT"/>
        </w:rPr>
        <w:t xml:space="preserve"> (A</w:t>
      </w:r>
      <w:r w:rsidR="5E474F68" w:rsidRPr="7B9E642E">
        <w:rPr>
          <w:rFonts w:ascii="Gill Sans MT" w:eastAsia="Gill Sans MT" w:hAnsi="Gill Sans MT" w:cs="Gill Sans MT"/>
        </w:rPr>
        <w:t>R</w:t>
      </w:r>
      <w:r w:rsidR="7AEF1F73" w:rsidRPr="7B9E642E">
        <w:rPr>
          <w:rFonts w:ascii="Gill Sans MT" w:eastAsia="Gill Sans MT" w:hAnsi="Gill Sans MT" w:cs="Gill Sans MT"/>
        </w:rPr>
        <w:t>CE)</w:t>
      </w:r>
      <w:r w:rsidR="287DE5A2" w:rsidRPr="7B9E642E">
        <w:rPr>
          <w:rFonts w:ascii="Gill Sans MT" w:eastAsia="Gill Sans MT" w:hAnsi="Gill Sans MT" w:cs="Gill Sans MT"/>
        </w:rPr>
        <w:t xml:space="preserve"> in partnership with the Council of American Overseas Research Centers (CAORC) and the US </w:t>
      </w:r>
      <w:r w:rsidR="7005C128" w:rsidRPr="7B9E642E">
        <w:rPr>
          <w:rFonts w:ascii="Gill Sans MT" w:eastAsia="Gill Sans MT" w:hAnsi="Gill Sans MT" w:cs="Gill Sans MT"/>
        </w:rPr>
        <w:t>Department</w:t>
      </w:r>
      <w:r w:rsidR="287DE5A2" w:rsidRPr="7B9E642E">
        <w:rPr>
          <w:rFonts w:ascii="Gill Sans MT" w:eastAsia="Gill Sans MT" w:hAnsi="Gill Sans MT" w:cs="Gill Sans MT"/>
        </w:rPr>
        <w:t xml:space="preserve"> of State</w:t>
      </w:r>
      <w:r w:rsidR="7AEF1F73" w:rsidRPr="7B9E642E">
        <w:rPr>
          <w:rFonts w:ascii="Gill Sans MT" w:eastAsia="Gill Sans MT" w:hAnsi="Gill Sans MT" w:cs="Gill Sans MT"/>
        </w:rPr>
        <w:t xml:space="preserve"> </w:t>
      </w:r>
      <w:r w:rsidRPr="7B9E642E">
        <w:rPr>
          <w:rFonts w:ascii="Gill Sans MT" w:eastAsia="Gill Sans MT" w:hAnsi="Gill Sans MT" w:cs="Gill Sans MT"/>
        </w:rPr>
        <w:t>has initiated a series of regional workshops</w:t>
      </w:r>
      <w:r w:rsidR="00DC18E5" w:rsidRPr="7B9E642E">
        <w:rPr>
          <w:rFonts w:ascii="Gill Sans MT" w:eastAsia="Gill Sans MT" w:hAnsi="Gill Sans MT" w:cs="Gill Sans MT"/>
        </w:rPr>
        <w:t xml:space="preserve">. This initiative </w:t>
      </w:r>
      <w:r w:rsidR="584144EA" w:rsidRPr="7B9E642E">
        <w:rPr>
          <w:rFonts w:ascii="Gill Sans MT" w:eastAsia="Gill Sans MT" w:hAnsi="Gill Sans MT" w:cs="Gill Sans MT"/>
        </w:rPr>
        <w:t xml:space="preserve">will bring together </w:t>
      </w:r>
      <w:r w:rsidR="00DC18E5" w:rsidRPr="7B9E642E">
        <w:rPr>
          <w:rFonts w:ascii="Gill Sans MT" w:eastAsia="Gill Sans MT" w:hAnsi="Gill Sans MT" w:cs="Gill Sans MT"/>
        </w:rPr>
        <w:t xml:space="preserve">Ministry representatives and other officials from </w:t>
      </w:r>
      <w:r w:rsidR="5DEB8E04" w:rsidRPr="7B9E642E">
        <w:rPr>
          <w:rFonts w:ascii="Gill Sans MT" w:eastAsia="Gill Sans MT" w:hAnsi="Gill Sans MT" w:cs="Gill Sans MT"/>
        </w:rPr>
        <w:t>the region</w:t>
      </w:r>
      <w:r w:rsidR="00DC18E5" w:rsidRPr="7B9E642E">
        <w:rPr>
          <w:rFonts w:ascii="Gill Sans MT" w:eastAsia="Gill Sans MT" w:hAnsi="Gill Sans MT" w:cs="Gill Sans MT"/>
        </w:rPr>
        <w:t xml:space="preserve"> to discuss </w:t>
      </w:r>
      <w:r w:rsidR="2272D778" w:rsidRPr="7B9E642E">
        <w:rPr>
          <w:rFonts w:ascii="Gill Sans MT" w:eastAsia="Gill Sans MT" w:hAnsi="Gill Sans MT" w:cs="Gill Sans MT"/>
        </w:rPr>
        <w:t xml:space="preserve">case studies, </w:t>
      </w:r>
      <w:r w:rsidR="00DC18E5" w:rsidRPr="7B9E642E">
        <w:rPr>
          <w:rFonts w:ascii="Gill Sans MT" w:eastAsia="Gill Sans MT" w:hAnsi="Gill Sans MT" w:cs="Gill Sans MT"/>
        </w:rPr>
        <w:t>best practices</w:t>
      </w:r>
      <w:r w:rsidR="72DEEBF0" w:rsidRPr="7B9E642E">
        <w:rPr>
          <w:rFonts w:ascii="Gill Sans MT" w:eastAsia="Gill Sans MT" w:hAnsi="Gill Sans MT" w:cs="Gill Sans MT"/>
        </w:rPr>
        <w:t>,</w:t>
      </w:r>
      <w:r w:rsidR="00DC18E5" w:rsidRPr="7B9E642E">
        <w:rPr>
          <w:rFonts w:ascii="Gill Sans MT" w:eastAsia="Gill Sans MT" w:hAnsi="Gill Sans MT" w:cs="Gill Sans MT"/>
        </w:rPr>
        <w:t xml:space="preserve"> and expand their professional networks in the area of c</w:t>
      </w:r>
      <w:r w:rsidR="44A15146" w:rsidRPr="7B9E642E">
        <w:rPr>
          <w:rFonts w:ascii="Gill Sans MT" w:eastAsia="Gill Sans MT" w:hAnsi="Gill Sans MT" w:cs="Gill Sans MT"/>
        </w:rPr>
        <w:t>ultural property protection</w:t>
      </w:r>
      <w:r w:rsidR="00DC18E5" w:rsidRPr="7B9E642E">
        <w:rPr>
          <w:rFonts w:ascii="Gill Sans MT" w:eastAsia="Gill Sans MT" w:hAnsi="Gill Sans MT" w:cs="Gill Sans MT"/>
        </w:rPr>
        <w:t>.</w:t>
      </w:r>
    </w:p>
    <w:p w14:paraId="74826A22" w14:textId="69DD1185" w:rsidR="00DC18E5" w:rsidRPr="00832FDA" w:rsidRDefault="00DC18E5" w:rsidP="451B7AF3">
      <w:pPr>
        <w:rPr>
          <w:rFonts w:ascii="Gill Sans MT" w:eastAsia="Gill Sans MT" w:hAnsi="Gill Sans MT" w:cs="Gill Sans MT"/>
        </w:rPr>
      </w:pPr>
    </w:p>
    <w:p w14:paraId="53B22293" w14:textId="3EFB8A38" w:rsidR="00C531A3" w:rsidRPr="00832FDA" w:rsidRDefault="00C531A3" w:rsidP="451B7AF3">
      <w:pPr>
        <w:rPr>
          <w:rFonts w:ascii="Gill Sans MT" w:eastAsia="Gill Sans MT" w:hAnsi="Gill Sans MT" w:cs="Gill Sans MT"/>
        </w:rPr>
      </w:pPr>
    </w:p>
    <w:p w14:paraId="69BB49ED" w14:textId="1A947F22" w:rsidR="00C531A3" w:rsidRPr="00832FDA" w:rsidRDefault="00DC18E5" w:rsidP="451B7AF3">
      <w:pPr>
        <w:rPr>
          <w:rFonts w:ascii="Gill Sans MT" w:eastAsia="Gill Sans MT" w:hAnsi="Gill Sans MT" w:cs="Gill Sans MT"/>
        </w:rPr>
      </w:pPr>
      <w:r w:rsidRPr="451B7AF3">
        <w:rPr>
          <w:rFonts w:ascii="Gill Sans MT" w:eastAsia="Gill Sans MT" w:hAnsi="Gill Sans MT" w:cs="Gill Sans MT"/>
          <w:b/>
          <w:bCs/>
        </w:rPr>
        <w:t>T</w:t>
      </w:r>
      <w:r w:rsidR="00C531A3" w:rsidRPr="451B7AF3">
        <w:rPr>
          <w:rFonts w:ascii="Gill Sans MT" w:eastAsia="Gill Sans MT" w:hAnsi="Gill Sans MT" w:cs="Gill Sans MT"/>
          <w:b/>
          <w:bCs/>
        </w:rPr>
        <w:t>he</w:t>
      </w:r>
      <w:r w:rsidR="00C531A3" w:rsidRPr="451B7AF3">
        <w:rPr>
          <w:rFonts w:ascii="Gill Sans MT" w:eastAsia="Gill Sans MT" w:hAnsi="Gill Sans MT" w:cs="Gill Sans MT"/>
        </w:rPr>
        <w:t xml:space="preserve"> </w:t>
      </w:r>
      <w:r w:rsidR="00C531A3" w:rsidRPr="451B7AF3">
        <w:rPr>
          <w:rFonts w:ascii="Gill Sans MT" w:eastAsia="Gill Sans MT" w:hAnsi="Gill Sans MT" w:cs="Gill Sans MT"/>
          <w:b/>
          <w:bCs/>
        </w:rPr>
        <w:t>First Regional Conference on Cultural Property Protection</w:t>
      </w:r>
    </w:p>
    <w:p w14:paraId="7BB46471" w14:textId="197818A6" w:rsidR="001B6A27" w:rsidRPr="00832FDA" w:rsidRDefault="003D7DE9" w:rsidP="451B7AF3">
      <w:pPr>
        <w:spacing w:line="259" w:lineRule="auto"/>
        <w:rPr>
          <w:rFonts w:ascii="Gill Sans MT" w:eastAsia="Gill Sans MT" w:hAnsi="Gill Sans MT" w:cs="Gill Sans MT"/>
        </w:rPr>
      </w:pPr>
      <w:r w:rsidRPr="451B7AF3">
        <w:rPr>
          <w:rFonts w:ascii="Gill Sans MT" w:eastAsia="Gill Sans MT" w:hAnsi="Gill Sans MT" w:cs="Gill Sans MT"/>
        </w:rPr>
        <w:t xml:space="preserve">The conference </w:t>
      </w:r>
      <w:r w:rsidR="6F4F98E0" w:rsidRPr="451B7AF3">
        <w:rPr>
          <w:rFonts w:ascii="Gill Sans MT" w:eastAsia="Gill Sans MT" w:hAnsi="Gill Sans MT" w:cs="Gill Sans MT"/>
        </w:rPr>
        <w:t>will consist of t</w:t>
      </w:r>
      <w:r w:rsidR="001B6A27" w:rsidRPr="451B7AF3">
        <w:rPr>
          <w:rFonts w:ascii="Gill Sans MT" w:eastAsia="Gill Sans MT" w:hAnsi="Gill Sans MT" w:cs="Gill Sans MT"/>
        </w:rPr>
        <w:t>hree-part</w:t>
      </w:r>
      <w:r w:rsidR="647429E2" w:rsidRPr="451B7AF3">
        <w:rPr>
          <w:rFonts w:ascii="Gill Sans MT" w:eastAsia="Gill Sans MT" w:hAnsi="Gill Sans MT" w:cs="Gill Sans MT"/>
        </w:rPr>
        <w:t>s</w:t>
      </w:r>
      <w:r w:rsidR="001B6A27" w:rsidRPr="451B7AF3">
        <w:rPr>
          <w:rFonts w:ascii="Gill Sans MT" w:eastAsia="Gill Sans MT" w:hAnsi="Gill Sans MT" w:cs="Gill Sans MT"/>
        </w:rPr>
        <w:t xml:space="preserve"> </w:t>
      </w:r>
      <w:r w:rsidR="79F7DA99" w:rsidRPr="451B7AF3">
        <w:rPr>
          <w:rFonts w:ascii="Gill Sans MT" w:eastAsia="Gill Sans MT" w:hAnsi="Gill Sans MT" w:cs="Gill Sans MT"/>
        </w:rPr>
        <w:t xml:space="preserve">that will take place between August 2021-December 2022. </w:t>
      </w:r>
      <w:r w:rsidR="001B6A27" w:rsidRPr="451B7AF3">
        <w:rPr>
          <w:rFonts w:ascii="Gill Sans MT" w:eastAsia="Gill Sans MT" w:hAnsi="Gill Sans MT" w:cs="Gill Sans MT"/>
        </w:rPr>
        <w:t xml:space="preserve">The first part </w:t>
      </w:r>
      <w:r w:rsidR="00DC18E5" w:rsidRPr="451B7AF3">
        <w:rPr>
          <w:rFonts w:ascii="Gill Sans MT" w:eastAsia="Gill Sans MT" w:hAnsi="Gill Sans MT" w:cs="Gill Sans MT"/>
        </w:rPr>
        <w:t xml:space="preserve">of the conference </w:t>
      </w:r>
      <w:r w:rsidR="4EA20B79" w:rsidRPr="451B7AF3">
        <w:rPr>
          <w:rFonts w:ascii="Gill Sans MT" w:eastAsia="Gill Sans MT" w:hAnsi="Gill Sans MT" w:cs="Gill Sans MT"/>
        </w:rPr>
        <w:t>will be a</w:t>
      </w:r>
      <w:r w:rsidR="00DC18E5" w:rsidRPr="451B7AF3">
        <w:rPr>
          <w:rFonts w:ascii="Gill Sans MT" w:eastAsia="Gill Sans MT" w:hAnsi="Gill Sans MT" w:cs="Gill Sans MT"/>
        </w:rPr>
        <w:t xml:space="preserve"> virtual series </w:t>
      </w:r>
      <w:r w:rsidR="3221E09D" w:rsidRPr="451B7AF3">
        <w:rPr>
          <w:rFonts w:ascii="Gill Sans MT" w:eastAsia="Gill Sans MT" w:hAnsi="Gill Sans MT" w:cs="Gill Sans MT"/>
        </w:rPr>
        <w:t>from August 10-12, 2021. It will then be</w:t>
      </w:r>
      <w:r w:rsidR="00DC18E5" w:rsidRPr="451B7AF3">
        <w:rPr>
          <w:rFonts w:ascii="Gill Sans MT" w:eastAsia="Gill Sans MT" w:hAnsi="Gill Sans MT" w:cs="Gill Sans MT"/>
        </w:rPr>
        <w:t xml:space="preserve"> followed by two in person workshops</w:t>
      </w:r>
      <w:r w:rsidR="00B15567" w:rsidRPr="451B7AF3">
        <w:rPr>
          <w:rFonts w:ascii="Gill Sans MT" w:eastAsia="Gill Sans MT" w:hAnsi="Gill Sans MT" w:cs="Gill Sans MT"/>
        </w:rPr>
        <w:t xml:space="preserve"> – the first of which will take place in Cairo, Egypt in early 2022, followed by a final conference in late 2022 that will take place in </w:t>
      </w:r>
      <w:r w:rsidR="434C0B9F" w:rsidRPr="451B7AF3">
        <w:rPr>
          <w:rFonts w:ascii="Gill Sans MT" w:eastAsia="Gill Sans MT" w:hAnsi="Gill Sans MT" w:cs="Gill Sans MT"/>
        </w:rPr>
        <w:t xml:space="preserve">Petra, </w:t>
      </w:r>
      <w:r w:rsidR="00B15567" w:rsidRPr="451B7AF3">
        <w:rPr>
          <w:rFonts w:ascii="Gill Sans MT" w:eastAsia="Gill Sans MT" w:hAnsi="Gill Sans MT" w:cs="Gill Sans MT"/>
        </w:rPr>
        <w:t xml:space="preserve">Jordan. </w:t>
      </w:r>
    </w:p>
    <w:p w14:paraId="45A935D2" w14:textId="2A221862" w:rsidR="00832FDA" w:rsidRPr="00832FDA" w:rsidRDefault="00832FDA" w:rsidP="451B7AF3">
      <w:pPr>
        <w:rPr>
          <w:rFonts w:ascii="Gill Sans MT" w:eastAsia="Gill Sans MT" w:hAnsi="Gill Sans MT" w:cs="Gill Sans MT"/>
        </w:rPr>
      </w:pPr>
    </w:p>
    <w:p w14:paraId="5DA50DDD" w14:textId="37D52CBB" w:rsidR="0006543B" w:rsidRPr="00832FDA" w:rsidRDefault="0006543B" w:rsidP="451B7AF3">
      <w:pPr>
        <w:rPr>
          <w:rFonts w:ascii="Gill Sans MT" w:eastAsia="Gill Sans MT" w:hAnsi="Gill Sans MT" w:cs="Gill Sans MT"/>
          <w:b/>
          <w:bCs/>
        </w:rPr>
      </w:pPr>
      <w:r w:rsidRPr="451B7AF3">
        <w:rPr>
          <w:rFonts w:ascii="Gill Sans MT" w:eastAsia="Gill Sans MT" w:hAnsi="Gill Sans MT" w:cs="Gill Sans MT"/>
          <w:b/>
          <w:bCs/>
        </w:rPr>
        <w:t>Participants</w:t>
      </w:r>
    </w:p>
    <w:p w14:paraId="4133F948" w14:textId="76E2B263" w:rsidR="64889764" w:rsidRPr="00832FDA" w:rsidRDefault="00B15567" w:rsidP="451B7AF3">
      <w:pPr>
        <w:rPr>
          <w:rFonts w:ascii="Gill Sans MT" w:eastAsia="Gill Sans MT" w:hAnsi="Gill Sans MT" w:cs="Gill Sans MT"/>
        </w:rPr>
      </w:pPr>
      <w:r w:rsidRPr="451B7AF3">
        <w:rPr>
          <w:rFonts w:ascii="Gill Sans MT" w:eastAsia="Gill Sans MT" w:hAnsi="Gill Sans MT" w:cs="Gill Sans MT"/>
        </w:rPr>
        <w:t>The First Regional Conference on Cultural Property Protection will bring together government officials</w:t>
      </w:r>
      <w:r w:rsidR="15C86577" w:rsidRPr="451B7AF3">
        <w:rPr>
          <w:rFonts w:ascii="Gill Sans MT" w:eastAsia="Gill Sans MT" w:hAnsi="Gill Sans MT" w:cs="Gill Sans MT"/>
        </w:rPr>
        <w:t>, experts,</w:t>
      </w:r>
      <w:r w:rsidRPr="451B7AF3">
        <w:rPr>
          <w:rFonts w:ascii="Gill Sans MT" w:eastAsia="Gill Sans MT" w:hAnsi="Gill Sans MT" w:cs="Gill Sans MT"/>
        </w:rPr>
        <w:t xml:space="preserve"> and organizations from Egypt, Jordan, Iraq,</w:t>
      </w:r>
      <w:r w:rsidR="3120ACB7" w:rsidRPr="451B7AF3">
        <w:rPr>
          <w:rFonts w:ascii="Gill Sans MT" w:eastAsia="Gill Sans MT" w:hAnsi="Gill Sans MT" w:cs="Gill Sans MT"/>
        </w:rPr>
        <w:t xml:space="preserve"> Yemen,</w:t>
      </w:r>
      <w:r w:rsidRPr="451B7AF3">
        <w:rPr>
          <w:rFonts w:ascii="Gill Sans MT" w:eastAsia="Gill Sans MT" w:hAnsi="Gill Sans MT" w:cs="Gill Sans MT"/>
        </w:rPr>
        <w:t xml:space="preserve"> Algeria,</w:t>
      </w:r>
      <w:r w:rsidR="0DB9D2FD" w:rsidRPr="451B7AF3">
        <w:rPr>
          <w:rFonts w:ascii="Gill Sans MT" w:eastAsia="Gill Sans MT" w:hAnsi="Gill Sans MT" w:cs="Gill Sans MT"/>
        </w:rPr>
        <w:t xml:space="preserve"> Libya,</w:t>
      </w:r>
      <w:r w:rsidRPr="451B7AF3">
        <w:rPr>
          <w:rFonts w:ascii="Gill Sans MT" w:eastAsia="Gill Sans MT" w:hAnsi="Gill Sans MT" w:cs="Gill Sans MT"/>
        </w:rPr>
        <w:t xml:space="preserve"> Tunisia,</w:t>
      </w:r>
      <w:r w:rsidR="1F878566" w:rsidRPr="451B7AF3">
        <w:rPr>
          <w:rFonts w:ascii="Gill Sans MT" w:eastAsia="Gill Sans MT" w:hAnsi="Gill Sans MT" w:cs="Gill Sans MT"/>
        </w:rPr>
        <w:t xml:space="preserve"> and</w:t>
      </w:r>
      <w:r w:rsidRPr="451B7AF3">
        <w:rPr>
          <w:rFonts w:ascii="Gill Sans MT" w:eastAsia="Gill Sans MT" w:hAnsi="Gill Sans MT" w:cs="Gill Sans MT"/>
        </w:rPr>
        <w:t xml:space="preserve"> Morocco that are involved in cultural heritage and property preservation. </w:t>
      </w:r>
    </w:p>
    <w:p w14:paraId="58264A78" w14:textId="5D6672C5" w:rsidR="64889764" w:rsidRPr="00832FDA" w:rsidRDefault="64889764" w:rsidP="451B7AF3">
      <w:pPr>
        <w:rPr>
          <w:rFonts w:ascii="Gill Sans MT" w:eastAsia="Gill Sans MT" w:hAnsi="Gill Sans MT" w:cs="Gill Sans MT"/>
          <w:b/>
          <w:bCs/>
        </w:rPr>
      </w:pPr>
    </w:p>
    <w:p w14:paraId="78C3AABD" w14:textId="39F66488" w:rsidR="00B15567" w:rsidRPr="00832FDA" w:rsidRDefault="0006543B" w:rsidP="451B7AF3">
      <w:pPr>
        <w:rPr>
          <w:rFonts w:ascii="Gill Sans MT" w:eastAsia="Gill Sans MT" w:hAnsi="Gill Sans MT" w:cs="Gill Sans MT"/>
          <w:b/>
          <w:bCs/>
        </w:rPr>
      </w:pPr>
      <w:r w:rsidRPr="451B7AF3">
        <w:rPr>
          <w:rFonts w:ascii="Gill Sans MT" w:eastAsia="Gill Sans MT" w:hAnsi="Gill Sans MT" w:cs="Gill Sans MT"/>
          <w:b/>
          <w:bCs/>
        </w:rPr>
        <w:t>Organization and Panels of the</w:t>
      </w:r>
      <w:r w:rsidR="45EB1C29" w:rsidRPr="451B7AF3">
        <w:rPr>
          <w:rFonts w:ascii="Gill Sans MT" w:eastAsia="Gill Sans MT" w:hAnsi="Gill Sans MT" w:cs="Gill Sans MT"/>
          <w:b/>
          <w:bCs/>
        </w:rPr>
        <w:t xml:space="preserve"> Virtual</w:t>
      </w:r>
      <w:r w:rsidRPr="451B7AF3">
        <w:rPr>
          <w:rFonts w:ascii="Gill Sans MT" w:eastAsia="Gill Sans MT" w:hAnsi="Gill Sans MT" w:cs="Gill Sans MT"/>
          <w:b/>
          <w:bCs/>
        </w:rPr>
        <w:t xml:space="preserve"> </w:t>
      </w:r>
      <w:r w:rsidR="5571C854" w:rsidRPr="451B7AF3">
        <w:rPr>
          <w:rFonts w:ascii="Gill Sans MT" w:eastAsia="Gill Sans MT" w:hAnsi="Gill Sans MT" w:cs="Gill Sans MT"/>
          <w:b/>
          <w:bCs/>
        </w:rPr>
        <w:t>C</w:t>
      </w:r>
      <w:r w:rsidRPr="451B7AF3">
        <w:rPr>
          <w:rFonts w:ascii="Gill Sans MT" w:eastAsia="Gill Sans MT" w:hAnsi="Gill Sans MT" w:cs="Gill Sans MT"/>
          <w:b/>
          <w:bCs/>
        </w:rPr>
        <w:t>onference</w:t>
      </w:r>
    </w:p>
    <w:p w14:paraId="34D8D28E" w14:textId="4FBEADF6" w:rsidR="00B15567" w:rsidRPr="00832FDA" w:rsidRDefault="00B15567" w:rsidP="451B7AF3">
      <w:pPr>
        <w:rPr>
          <w:rFonts w:ascii="Gill Sans MT" w:eastAsia="Gill Sans MT" w:hAnsi="Gill Sans MT" w:cs="Gill Sans MT"/>
        </w:rPr>
      </w:pPr>
      <w:r w:rsidRPr="451B7AF3">
        <w:rPr>
          <w:rFonts w:ascii="Gill Sans MT" w:eastAsia="Gill Sans MT" w:hAnsi="Gill Sans MT" w:cs="Gill Sans MT"/>
        </w:rPr>
        <w:t xml:space="preserve">The </w:t>
      </w:r>
      <w:r w:rsidR="1D73A1F6" w:rsidRPr="451B7AF3">
        <w:rPr>
          <w:rFonts w:ascii="Gill Sans MT" w:eastAsia="Gill Sans MT" w:hAnsi="Gill Sans MT" w:cs="Gill Sans MT"/>
        </w:rPr>
        <w:t>v</w:t>
      </w:r>
      <w:r w:rsidRPr="451B7AF3">
        <w:rPr>
          <w:rFonts w:ascii="Gill Sans MT" w:eastAsia="Gill Sans MT" w:hAnsi="Gill Sans MT" w:cs="Gill Sans MT"/>
        </w:rPr>
        <w:t xml:space="preserve">irtual component of the conference will take place over three days </w:t>
      </w:r>
      <w:r w:rsidR="253D8EC2" w:rsidRPr="451B7AF3">
        <w:rPr>
          <w:rFonts w:ascii="Gill Sans MT" w:eastAsia="Gill Sans MT" w:hAnsi="Gill Sans MT" w:cs="Gill Sans MT"/>
        </w:rPr>
        <w:t>consisting of three</w:t>
      </w:r>
      <w:r w:rsidRPr="451B7AF3">
        <w:rPr>
          <w:rFonts w:ascii="Gill Sans MT" w:eastAsia="Gill Sans MT" w:hAnsi="Gill Sans MT" w:cs="Gill Sans MT"/>
        </w:rPr>
        <w:t xml:space="preserve"> parts and </w:t>
      </w:r>
      <w:r w:rsidR="2BA42526" w:rsidRPr="451B7AF3">
        <w:rPr>
          <w:rFonts w:ascii="Gill Sans MT" w:eastAsia="Gill Sans MT" w:hAnsi="Gill Sans MT" w:cs="Gill Sans MT"/>
        </w:rPr>
        <w:t>seven</w:t>
      </w:r>
      <w:r w:rsidRPr="451B7AF3">
        <w:rPr>
          <w:rFonts w:ascii="Gill Sans MT" w:eastAsia="Gill Sans MT" w:hAnsi="Gill Sans MT" w:cs="Gill Sans MT"/>
        </w:rPr>
        <w:t xml:space="preserve"> sessions focusing on the following topics: </w:t>
      </w:r>
    </w:p>
    <w:p w14:paraId="2BB325E3" w14:textId="12C1475D" w:rsidR="00B15567" w:rsidRDefault="00B15567" w:rsidP="451B7AF3">
      <w:pPr>
        <w:rPr>
          <w:rFonts w:ascii="Gill Sans MT" w:eastAsia="Gill Sans MT" w:hAnsi="Gill Sans MT" w:cs="Gill Sans MT"/>
        </w:rPr>
      </w:pPr>
    </w:p>
    <w:p w14:paraId="6760447E" w14:textId="77777777"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color w:val="000000"/>
          <w:bdr w:val="none" w:sz="0" w:space="0" w:color="auto" w:frame="1"/>
          <w:shd w:val="clear" w:color="auto" w:fill="FFFFFF"/>
          <w:lang w:val="en-GB" w:eastAsia="en-GB"/>
        </w:rPr>
        <w:t>Part I: Digitization, Management, and Sustainability of Heritage Collections </w:t>
      </w:r>
    </w:p>
    <w:p w14:paraId="73309214" w14:textId="77777777"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color w:val="201F1E"/>
          <w:bdr w:val="none" w:sz="0" w:space="0" w:color="auto" w:frame="1"/>
          <w:lang w:val="en-GB" w:eastAsia="en-GB"/>
        </w:rPr>
        <w:t> </w:t>
      </w:r>
    </w:p>
    <w:p w14:paraId="43F8113F" w14:textId="77777777" w:rsidR="00832FDA" w:rsidRPr="00832FDA" w:rsidRDefault="00B15567" w:rsidP="451B7AF3">
      <w:pPr>
        <w:numPr>
          <w:ilvl w:val="0"/>
          <w:numId w:val="3"/>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1: Sustainable Collection Management Strategies.</w:t>
      </w:r>
      <w:r w:rsidRPr="451B7AF3">
        <w:rPr>
          <w:rFonts w:ascii="Gill Sans MT" w:eastAsia="Gill Sans MT" w:hAnsi="Gill Sans MT" w:cs="Gill Sans MT"/>
          <w:color w:val="000000"/>
          <w:bdr w:val="none" w:sz="0" w:space="0" w:color="auto" w:frame="1"/>
          <w:shd w:val="clear" w:color="auto" w:fill="FFFFFF"/>
          <w:lang w:val="en-GB" w:eastAsia="en-GB"/>
        </w:rPr>
        <w:t> </w:t>
      </w:r>
    </w:p>
    <w:p w14:paraId="2960F038" w14:textId="73F97485"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Presentation of case studies which aim to establish widespread adoption of common documentation methods, terminology, procedures, and platforms (open-source); also focus on issues of open access and data control.</w:t>
      </w:r>
    </w:p>
    <w:p w14:paraId="70DAFFE6" w14:textId="77777777" w:rsidR="00832FDA" w:rsidRPr="00832FDA" w:rsidRDefault="00B15567" w:rsidP="451B7AF3">
      <w:pPr>
        <w:numPr>
          <w:ilvl w:val="0"/>
          <w:numId w:val="3"/>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2: Building, Managing, and Sustaining Documentary Digitization Efforts</w:t>
      </w:r>
      <w:r w:rsidRPr="451B7AF3">
        <w:rPr>
          <w:rFonts w:ascii="Gill Sans MT" w:eastAsia="Gill Sans MT" w:hAnsi="Gill Sans MT" w:cs="Gill Sans MT"/>
          <w:color w:val="000000"/>
          <w:bdr w:val="none" w:sz="0" w:space="0" w:color="auto" w:frame="1"/>
          <w:shd w:val="clear" w:color="auto" w:fill="FFFFFF"/>
          <w:lang w:val="en-GB" w:eastAsia="en-GB"/>
        </w:rPr>
        <w:t>. </w:t>
      </w:r>
    </w:p>
    <w:p w14:paraId="6661E58C" w14:textId="294ACA4B" w:rsidR="00B15567" w:rsidRDefault="00B15567" w:rsidP="451B7AF3">
      <w:pPr>
        <w:shd w:val="clear" w:color="auto" w:fill="FFFFFF" w:themeFill="background1"/>
        <w:ind w:left="720"/>
        <w:rPr>
          <w:rFonts w:ascii="Gill Sans MT" w:eastAsia="Gill Sans MT" w:hAnsi="Gill Sans MT" w:cs="Gill Sans MT"/>
          <w:color w:val="000000"/>
          <w:bdr w:val="none" w:sz="0" w:space="0" w:color="auto" w:frame="1"/>
          <w:shd w:val="clear" w:color="auto" w:fill="FFFFFF"/>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Case studies and panel discussion of successful efforts to digitize and make accessible threatened manuscript, documentary, and photo collections- both public and private.</w:t>
      </w:r>
    </w:p>
    <w:p w14:paraId="353F5BF0" w14:textId="77777777" w:rsidR="001D555D" w:rsidRPr="00B15567" w:rsidRDefault="001D555D" w:rsidP="451B7AF3">
      <w:pPr>
        <w:shd w:val="clear" w:color="auto" w:fill="FFFFFF" w:themeFill="background1"/>
        <w:ind w:left="720"/>
        <w:rPr>
          <w:rFonts w:ascii="Gill Sans MT" w:eastAsia="Gill Sans MT" w:hAnsi="Gill Sans MT" w:cs="Gill Sans MT"/>
          <w:color w:val="201F1E"/>
          <w:bdr w:val="none" w:sz="0" w:space="0" w:color="auto" w:frame="1"/>
          <w:lang w:val="en-GB" w:eastAsia="en-GB"/>
        </w:rPr>
      </w:pPr>
    </w:p>
    <w:p w14:paraId="307E588D" w14:textId="201C6E8C" w:rsidR="001C1934" w:rsidRPr="001C1934" w:rsidRDefault="00C16418" w:rsidP="001C1934">
      <w:pPr>
        <w:shd w:val="clear" w:color="auto" w:fill="FFFFFF" w:themeFill="background1"/>
        <w:ind w:left="-1418"/>
        <w:rPr>
          <w:rFonts w:ascii="Gill Sans MT" w:eastAsia="Gill Sans MT" w:hAnsi="Gill Sans MT" w:cs="Gill Sans MT"/>
          <w:color w:val="201F1E"/>
          <w:lang w:val="en-GB" w:eastAsia="en-GB"/>
        </w:rPr>
      </w:pPr>
      <w:r w:rsidRPr="00406381">
        <w:rPr>
          <w:noProof/>
          <w:highlight w:val="darkRed"/>
        </w:rPr>
        <w:lastRenderedPageBreak/>
        <w:drawing>
          <wp:inline distT="0" distB="0" distL="0" distR="0" wp14:anchorId="7DC9B005" wp14:editId="10ED7F7F">
            <wp:extent cx="2590800" cy="11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590800" cy="1114045"/>
                    </a:xfrm>
                    <a:prstGeom prst="rect">
                      <a:avLst/>
                    </a:prstGeom>
                  </pic:spPr>
                </pic:pic>
              </a:graphicData>
            </a:graphic>
          </wp:inline>
        </w:drawing>
      </w:r>
    </w:p>
    <w:p w14:paraId="01171E0B" w14:textId="77777777" w:rsidR="001C1934" w:rsidRDefault="001C1934" w:rsidP="451B7AF3">
      <w:pPr>
        <w:shd w:val="clear" w:color="auto" w:fill="FFFFFF" w:themeFill="background1"/>
        <w:rPr>
          <w:rFonts w:ascii="Gill Sans MT" w:eastAsia="Gill Sans MT" w:hAnsi="Gill Sans MT" w:cs="Gill Sans MT"/>
          <w:b/>
          <w:bCs/>
          <w:color w:val="000000"/>
          <w:bdr w:val="none" w:sz="0" w:space="0" w:color="auto" w:frame="1"/>
          <w:shd w:val="clear" w:color="auto" w:fill="FFFFFF"/>
          <w:lang w:val="en-GB" w:eastAsia="en-GB"/>
        </w:rPr>
      </w:pPr>
    </w:p>
    <w:p w14:paraId="6B396EB8" w14:textId="7A17E0C7"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color w:val="000000"/>
          <w:bdr w:val="none" w:sz="0" w:space="0" w:color="auto" w:frame="1"/>
          <w:shd w:val="clear" w:color="auto" w:fill="FFFFFF"/>
          <w:lang w:val="en-GB" w:eastAsia="en-GB"/>
        </w:rPr>
        <w:t>Part II: Site Management and Security </w:t>
      </w:r>
    </w:p>
    <w:p w14:paraId="1559745E" w14:textId="77777777"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color w:val="201F1E"/>
          <w:bdr w:val="none" w:sz="0" w:space="0" w:color="auto" w:frame="1"/>
          <w:lang w:val="en-GB" w:eastAsia="en-GB"/>
        </w:rPr>
        <w:t> </w:t>
      </w:r>
    </w:p>
    <w:p w14:paraId="4BE41450" w14:textId="77777777" w:rsidR="00832FDA" w:rsidRPr="00832FDA" w:rsidRDefault="00B15567" w:rsidP="451B7AF3">
      <w:pPr>
        <w:numPr>
          <w:ilvl w:val="0"/>
          <w:numId w:val="4"/>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3: Innovative Approaches to Site Management and Administration.</w:t>
      </w:r>
      <w:r w:rsidRPr="451B7AF3">
        <w:rPr>
          <w:rFonts w:ascii="Gill Sans MT" w:eastAsia="Gill Sans MT" w:hAnsi="Gill Sans MT" w:cs="Gill Sans MT"/>
          <w:color w:val="000000"/>
          <w:bdr w:val="none" w:sz="0" w:space="0" w:color="auto" w:frame="1"/>
          <w:shd w:val="clear" w:color="auto" w:fill="FFFFFF"/>
          <w:lang w:val="en-GB" w:eastAsia="en-GB"/>
        </w:rPr>
        <w:t> </w:t>
      </w:r>
    </w:p>
    <w:p w14:paraId="23D206CD" w14:textId="117EE356"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Case study presentations and discussion related to alternative site management approaches, including public-private partnerships, semi-autonomous authorities, and royal trusts/commissions.</w:t>
      </w:r>
    </w:p>
    <w:p w14:paraId="068090BA" w14:textId="77777777" w:rsidR="00832FDA" w:rsidRPr="00832FDA" w:rsidRDefault="00B15567" w:rsidP="451B7AF3">
      <w:pPr>
        <w:numPr>
          <w:ilvl w:val="0"/>
          <w:numId w:val="4"/>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4: Enhancing Site Security through Local Collaboration.</w:t>
      </w:r>
      <w:r w:rsidRPr="451B7AF3">
        <w:rPr>
          <w:rFonts w:ascii="Gill Sans MT" w:eastAsia="Gill Sans MT" w:hAnsi="Gill Sans MT" w:cs="Gill Sans MT"/>
          <w:color w:val="000000"/>
          <w:bdr w:val="none" w:sz="0" w:space="0" w:color="auto" w:frame="1"/>
          <w:shd w:val="clear" w:color="auto" w:fill="FFFFFF"/>
          <w:lang w:val="en-GB" w:eastAsia="en-GB"/>
        </w:rPr>
        <w:t> </w:t>
      </w:r>
    </w:p>
    <w:p w14:paraId="4B5BB958" w14:textId="07EC1223"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Presentation of case study efforts to engage different local stakeholders in preventing site destruction and looting.</w:t>
      </w:r>
    </w:p>
    <w:p w14:paraId="71529263" w14:textId="77777777" w:rsidR="00832FDA" w:rsidRPr="00832FDA" w:rsidRDefault="00B15567" w:rsidP="451B7AF3">
      <w:pPr>
        <w:numPr>
          <w:ilvl w:val="0"/>
          <w:numId w:val="4"/>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5: Protecting Heritage Architecture and Traditions.</w:t>
      </w:r>
      <w:r w:rsidRPr="451B7AF3">
        <w:rPr>
          <w:rFonts w:ascii="Gill Sans MT" w:eastAsia="Gill Sans MT" w:hAnsi="Gill Sans MT" w:cs="Gill Sans MT"/>
          <w:color w:val="000000"/>
          <w:bdr w:val="none" w:sz="0" w:space="0" w:color="auto" w:frame="1"/>
          <w:shd w:val="clear" w:color="auto" w:fill="FFFFFF"/>
          <w:lang w:val="en-GB" w:eastAsia="en-GB"/>
        </w:rPr>
        <w:t> </w:t>
      </w:r>
    </w:p>
    <w:p w14:paraId="18E23AC4" w14:textId="0D3CD20A"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Case studies and panel discussion of specific challenges facing preservation of traditional architecture/buildings not covered by most antiquities’ laws; including key threats (development, climate change) and opportunities/challenges posed by adaptive reuse.</w:t>
      </w:r>
    </w:p>
    <w:p w14:paraId="0C6D5A4F" w14:textId="5D7E7748"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color w:val="201F1E"/>
          <w:bdr w:val="none" w:sz="0" w:space="0" w:color="auto" w:frame="1"/>
          <w:lang w:val="en-GB" w:eastAsia="en-GB"/>
        </w:rPr>
        <w:t> </w:t>
      </w:r>
    </w:p>
    <w:p w14:paraId="5A2E42B1" w14:textId="77777777" w:rsidR="00B15567" w:rsidRPr="00B15567" w:rsidRDefault="00B15567" w:rsidP="451B7AF3">
      <w:pPr>
        <w:shd w:val="clear" w:color="auto" w:fill="FFFFFF" w:themeFill="background1"/>
        <w:textAlignment w:val="baseline"/>
        <w:rPr>
          <w:rFonts w:ascii="Gill Sans MT" w:eastAsia="Gill Sans MT" w:hAnsi="Gill Sans MT" w:cs="Gill Sans MT"/>
          <w:color w:val="201F1E"/>
          <w:lang w:val="en-GB" w:eastAsia="en-GB"/>
        </w:rPr>
      </w:pPr>
      <w:r w:rsidRPr="451B7AF3">
        <w:rPr>
          <w:rFonts w:ascii="Gill Sans MT" w:eastAsia="Gill Sans MT" w:hAnsi="Gill Sans MT" w:cs="Gill Sans MT"/>
          <w:b/>
          <w:bCs/>
          <w:color w:val="201F1E"/>
          <w:bdr w:val="none" w:sz="0" w:space="0" w:color="auto" w:frame="1"/>
          <w:lang w:val="en-GB" w:eastAsia="en-GB"/>
        </w:rPr>
        <w:t>Part III: Public Engagement and Outreach </w:t>
      </w:r>
    </w:p>
    <w:p w14:paraId="3BC170C5" w14:textId="77777777"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201F1E"/>
          <w:bdr w:val="none" w:sz="0" w:space="0" w:color="auto" w:frame="1"/>
          <w:lang w:val="en-GB" w:eastAsia="en-GB"/>
        </w:rPr>
        <w:t> </w:t>
      </w:r>
    </w:p>
    <w:p w14:paraId="6FF7ECF4" w14:textId="77777777" w:rsidR="00832FDA" w:rsidRPr="00832FDA" w:rsidRDefault="00B15567" w:rsidP="451B7AF3">
      <w:pPr>
        <w:numPr>
          <w:ilvl w:val="0"/>
          <w:numId w:val="5"/>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201F1E"/>
          <w:bdr w:val="none" w:sz="0" w:space="0" w:color="auto" w:frame="1"/>
          <w:lang w:val="en-GB" w:eastAsia="en-GB"/>
        </w:rPr>
        <w:t>Session 6: Enhancing Heritage Protection through Public Awareness and Outreach.</w:t>
      </w:r>
      <w:r w:rsidRPr="451B7AF3">
        <w:rPr>
          <w:rFonts w:ascii="Gill Sans MT" w:eastAsia="Gill Sans MT" w:hAnsi="Gill Sans MT" w:cs="Gill Sans MT"/>
          <w:color w:val="000000"/>
          <w:bdr w:val="none" w:sz="0" w:space="0" w:color="auto" w:frame="1"/>
          <w:shd w:val="clear" w:color="auto" w:fill="FFFFFF"/>
          <w:lang w:val="en-GB" w:eastAsia="en-GB"/>
        </w:rPr>
        <w:t> </w:t>
      </w:r>
    </w:p>
    <w:p w14:paraId="071001B3" w14:textId="07C6C81E"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Case study presentations of successful outreach/awareness efforts.</w:t>
      </w:r>
    </w:p>
    <w:p w14:paraId="06E7AE5E" w14:textId="77777777" w:rsidR="00832FDA" w:rsidRPr="00832FDA" w:rsidRDefault="00B15567" w:rsidP="451B7AF3">
      <w:pPr>
        <w:numPr>
          <w:ilvl w:val="0"/>
          <w:numId w:val="5"/>
        </w:num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b/>
          <w:bCs/>
          <w:i/>
          <w:iCs/>
          <w:color w:val="000000"/>
          <w:bdr w:val="none" w:sz="0" w:space="0" w:color="auto" w:frame="1"/>
          <w:shd w:val="clear" w:color="auto" w:fill="FFFFFF"/>
          <w:lang w:val="en-GB" w:eastAsia="en-GB"/>
        </w:rPr>
        <w:t>Session 7: Understanding Public Perceptions (and Values) of Heritage</w:t>
      </w:r>
      <w:r w:rsidRPr="451B7AF3">
        <w:rPr>
          <w:rFonts w:ascii="Gill Sans MT" w:eastAsia="Gill Sans MT" w:hAnsi="Gill Sans MT" w:cs="Gill Sans MT"/>
          <w:color w:val="000000"/>
          <w:bdr w:val="none" w:sz="0" w:space="0" w:color="auto" w:frame="1"/>
          <w:shd w:val="clear" w:color="auto" w:fill="FFFFFF"/>
          <w:lang w:val="en-GB" w:eastAsia="en-GB"/>
        </w:rPr>
        <w:t>. </w:t>
      </w:r>
    </w:p>
    <w:p w14:paraId="0C1DD220" w14:textId="57B2F180" w:rsidR="00B15567" w:rsidRPr="00B15567" w:rsidRDefault="00B15567" w:rsidP="451B7AF3">
      <w:pPr>
        <w:shd w:val="clear" w:color="auto" w:fill="FFFFFF" w:themeFill="background1"/>
        <w:ind w:left="720"/>
        <w:rPr>
          <w:rFonts w:ascii="Gill Sans MT" w:eastAsia="Gill Sans MT" w:hAnsi="Gill Sans MT" w:cs="Gill Sans MT"/>
          <w:color w:val="201F1E"/>
          <w:lang w:val="en-GB" w:eastAsia="en-GB"/>
        </w:rPr>
      </w:pPr>
      <w:r w:rsidRPr="451B7AF3">
        <w:rPr>
          <w:rFonts w:ascii="Gill Sans MT" w:eastAsia="Gill Sans MT" w:hAnsi="Gill Sans MT" w:cs="Gill Sans MT"/>
          <w:color w:val="000000"/>
          <w:bdr w:val="none" w:sz="0" w:space="0" w:color="auto" w:frame="1"/>
          <w:shd w:val="clear" w:color="auto" w:fill="FFFFFF"/>
          <w:lang w:val="en-GB" w:eastAsia="en-GB"/>
        </w:rPr>
        <w:t>Case studies and panel discussion of diverse ways in which publics and communities use, perceive, and value heritage, often in contrast or contradiction to values/practices of heritage professionals.</w:t>
      </w:r>
    </w:p>
    <w:p w14:paraId="6F12BB89" w14:textId="77777777" w:rsidR="00B15567" w:rsidRPr="00B15567" w:rsidRDefault="00B15567" w:rsidP="451B7AF3">
      <w:pPr>
        <w:shd w:val="clear" w:color="auto" w:fill="FFFFFF" w:themeFill="background1"/>
        <w:rPr>
          <w:rFonts w:ascii="Gill Sans MT" w:eastAsia="Gill Sans MT" w:hAnsi="Gill Sans MT" w:cs="Gill Sans MT"/>
          <w:color w:val="201F1E"/>
          <w:lang w:val="en-GB" w:eastAsia="en-GB"/>
        </w:rPr>
      </w:pPr>
      <w:r w:rsidRPr="451B7AF3">
        <w:rPr>
          <w:rFonts w:ascii="Gill Sans MT" w:eastAsia="Gill Sans MT" w:hAnsi="Gill Sans MT" w:cs="Gill Sans MT"/>
          <w:color w:val="201F1E"/>
          <w:bdr w:val="none" w:sz="0" w:space="0" w:color="auto" w:frame="1"/>
          <w:lang w:val="en-GB" w:eastAsia="en-GB"/>
        </w:rPr>
        <w:t> </w:t>
      </w:r>
    </w:p>
    <w:p w14:paraId="014835FD" w14:textId="283A8947" w:rsidR="451B7AF3" w:rsidRDefault="451B7AF3" w:rsidP="451B7AF3">
      <w:pPr>
        <w:rPr>
          <w:rFonts w:ascii="Gill Sans MT" w:eastAsia="Gill Sans MT" w:hAnsi="Gill Sans MT" w:cs="Gill Sans MT"/>
          <w:b/>
          <w:bCs/>
        </w:rPr>
      </w:pPr>
    </w:p>
    <w:p w14:paraId="4BE18EAD" w14:textId="38859755" w:rsidR="0006543B" w:rsidRDefault="0006543B" w:rsidP="451B7AF3">
      <w:pPr>
        <w:rPr>
          <w:rFonts w:ascii="Gill Sans MT" w:eastAsia="Times New Roman" w:hAnsi="Gill Sans MT" w:cs="Calibri"/>
          <w:color w:val="000000" w:themeColor="text1"/>
          <w:lang w:val="en-GB" w:eastAsia="en-GB"/>
        </w:rPr>
      </w:pPr>
      <w:r w:rsidRPr="451B7AF3">
        <w:rPr>
          <w:rFonts w:ascii="Gill Sans MT" w:eastAsia="Gill Sans MT" w:hAnsi="Gill Sans MT" w:cs="Gill Sans MT"/>
          <w:b/>
          <w:bCs/>
        </w:rPr>
        <w:t>Expected Outcomes</w:t>
      </w:r>
      <w:r w:rsidR="42F08648" w:rsidRPr="451B7AF3">
        <w:rPr>
          <w:rFonts w:ascii="Gill Sans MT" w:eastAsia="Gill Sans MT" w:hAnsi="Gill Sans MT" w:cs="Gill Sans MT"/>
          <w:b/>
          <w:bCs/>
        </w:rPr>
        <w:t xml:space="preserve"> </w:t>
      </w:r>
    </w:p>
    <w:p w14:paraId="2B296BCB" w14:textId="2E747F51" w:rsidR="73DBCF60" w:rsidRDefault="73DBCF60"/>
    <w:p w14:paraId="5FFABCD9" w14:textId="4C461D69" w:rsidR="73DBCF60" w:rsidRDefault="73DBCF60" w:rsidP="451B7AF3">
      <w:pPr>
        <w:jc w:val="both"/>
        <w:rPr>
          <w:rFonts w:ascii="Gill Sans MT" w:eastAsia="Gill Sans MT" w:hAnsi="Gill Sans MT" w:cs="Gill Sans MT"/>
        </w:rPr>
      </w:pPr>
      <w:r w:rsidRPr="451B7AF3">
        <w:rPr>
          <w:rFonts w:ascii="Gill Sans MT" w:eastAsia="Gill Sans MT" w:hAnsi="Gill Sans MT" w:cs="Gill Sans MT"/>
          <w:lang w:val="en-GB"/>
        </w:rPr>
        <w:t xml:space="preserve">The virtual conference will contribute producing a formal “white paper” document that will be further discussed at the in-person conferences. It will provide common and shared principles for successful strategies and practices (via case studies) to meet the needs and challenges in the areas of digital documentation and site management across the region. It will also identify needs and challenges that are more country and/or situation specific, and therefore might require different or customized approaches. It will also provide recommendations for furthering/sustaining successful strategies, both regionally and within specific contexts. Lastly, we expect this conference to produce a concept note for a long-term training program in one or both of the subject areas to aid in both regional collaboration and produce sustaining results. </w:t>
      </w:r>
      <w:r>
        <w:tab/>
      </w:r>
      <w:r>
        <w:tab/>
      </w:r>
      <w:r>
        <w:tab/>
      </w:r>
      <w:r>
        <w:tab/>
      </w:r>
      <w:r>
        <w:tab/>
      </w:r>
    </w:p>
    <w:p w14:paraId="580C8756" w14:textId="4111B7A2" w:rsidR="73DBCF60" w:rsidRPr="00FB1963" w:rsidRDefault="6CF83738" w:rsidP="00FB1963">
      <w:pPr>
        <w:jc w:val="both"/>
        <w:rPr>
          <w:rFonts w:ascii="Gill Sans MT" w:eastAsia="Gill Sans MT" w:hAnsi="Gill Sans MT" w:cs="Gill Sans MT"/>
        </w:rPr>
      </w:pPr>
      <w:r w:rsidRPr="451B7AF3">
        <w:rPr>
          <w:rFonts w:ascii="Gill Sans MT" w:eastAsia="Gill Sans MT" w:hAnsi="Gill Sans MT" w:cs="Gill Sans MT"/>
          <w:lang w:val="en-GB"/>
        </w:rPr>
        <w:t>T</w:t>
      </w:r>
      <w:r w:rsidR="73DBCF60" w:rsidRPr="451B7AF3">
        <w:rPr>
          <w:rFonts w:ascii="Gill Sans MT" w:eastAsia="Gill Sans MT" w:hAnsi="Gill Sans MT" w:cs="Gill Sans MT"/>
          <w:lang w:val="en-GB"/>
        </w:rPr>
        <w:t xml:space="preserve">he “white paper” document will </w:t>
      </w:r>
      <w:r w:rsidR="6E5F3F8E" w:rsidRPr="451B7AF3">
        <w:rPr>
          <w:rFonts w:ascii="Gill Sans MT" w:eastAsia="Gill Sans MT" w:hAnsi="Gill Sans MT" w:cs="Gill Sans MT"/>
          <w:lang w:val="en-GB"/>
        </w:rPr>
        <w:t xml:space="preserve">be </w:t>
      </w:r>
      <w:r w:rsidR="73DBCF60" w:rsidRPr="451B7AF3">
        <w:rPr>
          <w:rFonts w:ascii="Gill Sans MT" w:eastAsia="Gill Sans MT" w:hAnsi="Gill Sans MT" w:cs="Gill Sans MT"/>
          <w:lang w:val="en-GB"/>
        </w:rPr>
        <w:t>use</w:t>
      </w:r>
      <w:r w:rsidR="3C49BD36" w:rsidRPr="451B7AF3">
        <w:rPr>
          <w:rFonts w:ascii="Gill Sans MT" w:eastAsia="Gill Sans MT" w:hAnsi="Gill Sans MT" w:cs="Gill Sans MT"/>
          <w:lang w:val="en-GB"/>
        </w:rPr>
        <w:t>d</w:t>
      </w:r>
      <w:r w:rsidR="73DBCF60" w:rsidRPr="451B7AF3">
        <w:rPr>
          <w:rFonts w:ascii="Gill Sans MT" w:eastAsia="Gill Sans MT" w:hAnsi="Gill Sans MT" w:cs="Gill Sans MT"/>
          <w:lang w:val="en-GB"/>
        </w:rPr>
        <w:t xml:space="preserve"> in guiding the two follow on in person conferences that will take place in 2022. The first conference</w:t>
      </w:r>
      <w:r w:rsidR="4C4AA9D1" w:rsidRPr="451B7AF3">
        <w:rPr>
          <w:rFonts w:ascii="Gill Sans MT" w:eastAsia="Gill Sans MT" w:hAnsi="Gill Sans MT" w:cs="Gill Sans MT"/>
          <w:lang w:val="en-GB"/>
        </w:rPr>
        <w:t xml:space="preserve"> will take place</w:t>
      </w:r>
      <w:r w:rsidR="73DBCF60" w:rsidRPr="451B7AF3">
        <w:rPr>
          <w:rFonts w:ascii="Gill Sans MT" w:eastAsia="Gill Sans MT" w:hAnsi="Gill Sans MT" w:cs="Gill Sans MT"/>
          <w:lang w:val="en-GB"/>
        </w:rPr>
        <w:t xml:space="preserve"> in</w:t>
      </w:r>
      <w:r w:rsidR="30E2208C" w:rsidRPr="451B7AF3">
        <w:rPr>
          <w:rFonts w:ascii="Gill Sans MT" w:eastAsia="Gill Sans MT" w:hAnsi="Gill Sans MT" w:cs="Gill Sans MT"/>
          <w:lang w:val="en-GB"/>
        </w:rPr>
        <w:t xml:space="preserve"> Cairo, Egypt</w:t>
      </w:r>
      <w:r w:rsidR="73DBCF60" w:rsidRPr="451B7AF3">
        <w:rPr>
          <w:rFonts w:ascii="Gill Sans MT" w:eastAsia="Gill Sans MT" w:hAnsi="Gill Sans MT" w:cs="Gill Sans MT"/>
          <w:lang w:val="en-GB"/>
        </w:rPr>
        <w:t xml:space="preserve"> early 2022 and will focus on Documentation and Digital Inventories. The final conference will take place in</w:t>
      </w:r>
      <w:r w:rsidR="4A95A81A" w:rsidRPr="451B7AF3">
        <w:rPr>
          <w:rFonts w:ascii="Gill Sans MT" w:eastAsia="Gill Sans MT" w:hAnsi="Gill Sans MT" w:cs="Gill Sans MT"/>
          <w:lang w:val="en-GB"/>
        </w:rPr>
        <w:t xml:space="preserve"> Petra, Jordan in</w:t>
      </w:r>
      <w:r w:rsidR="73DBCF60" w:rsidRPr="451B7AF3">
        <w:rPr>
          <w:rFonts w:ascii="Gill Sans MT" w:eastAsia="Gill Sans MT" w:hAnsi="Gill Sans MT" w:cs="Gill Sans MT"/>
          <w:lang w:val="en-GB"/>
        </w:rPr>
        <w:t xml:space="preserve"> late 2022 and will focus on Site Management. </w:t>
      </w:r>
      <w:r>
        <w:tab/>
      </w:r>
      <w:r>
        <w:tab/>
      </w:r>
      <w:r>
        <w:tab/>
      </w:r>
    </w:p>
    <w:sectPr w:rsidR="73DBCF60" w:rsidRPr="00FB1963" w:rsidSect="001C1934">
      <w:footerReference w:type="default" r:id="rId11"/>
      <w:pgSz w:w="12240" w:h="15840"/>
      <w:pgMar w:top="22" w:right="1440" w:bottom="1440" w:left="1440" w:header="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0787" w14:textId="77777777" w:rsidR="004A1EC3" w:rsidRDefault="004A1EC3" w:rsidP="001D555D">
      <w:r>
        <w:separator/>
      </w:r>
    </w:p>
  </w:endnote>
  <w:endnote w:type="continuationSeparator" w:id="0">
    <w:p w14:paraId="79E437BE" w14:textId="77777777" w:rsidR="004A1EC3" w:rsidRDefault="004A1EC3" w:rsidP="001D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5DE8" w14:textId="7827F904" w:rsidR="001D555D" w:rsidRDefault="00406381" w:rsidP="00406381">
    <w:pPr>
      <w:pStyle w:val="Footer"/>
      <w:tabs>
        <w:tab w:val="clear" w:pos="4513"/>
        <w:tab w:val="center" w:pos="3686"/>
      </w:tabs>
      <w:ind w:left="-1418" w:right="-705"/>
      <w:jc w:val="right"/>
    </w:pPr>
    <w:r>
      <w:rPr>
        <w:noProof/>
      </w:rPr>
      <w:drawing>
        <wp:inline distT="0" distB="0" distL="0" distR="0" wp14:anchorId="287F5588" wp14:editId="14F6A239">
          <wp:extent cx="1314450" cy="692754"/>
          <wp:effectExtent l="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92754"/>
                  </a:xfrm>
                  <a:prstGeom prst="rect">
                    <a:avLst/>
                  </a:prstGeom>
                  <a:noFill/>
                  <a:ln>
                    <a:noFill/>
                  </a:ln>
                </pic:spPr>
              </pic:pic>
            </a:graphicData>
          </a:graphic>
        </wp:inline>
      </w:drawing>
    </w:r>
    <w:r>
      <w:tab/>
    </w:r>
    <w:r>
      <w:rPr>
        <w:noProof/>
      </w:rPr>
      <w:drawing>
        <wp:inline distT="0" distB="0" distL="0" distR="0" wp14:anchorId="5568FE9A" wp14:editId="37FC3895">
          <wp:extent cx="992675" cy="8255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287" cy="835988"/>
                  </a:xfrm>
                  <a:prstGeom prst="rect">
                    <a:avLst/>
                  </a:prstGeom>
                  <a:noFill/>
                  <a:ln>
                    <a:noFill/>
                  </a:ln>
                </pic:spPr>
              </pic:pic>
            </a:graphicData>
          </a:graphic>
        </wp:inline>
      </w:drawing>
    </w:r>
    <w:r w:rsidR="001D555D">
      <w:ptab w:relativeTo="margin" w:alignment="right" w:leader="none"/>
    </w:r>
    <w:r>
      <w:rPr>
        <w:noProof/>
      </w:rPr>
      <w:drawing>
        <wp:inline distT="0" distB="0" distL="0" distR="0" wp14:anchorId="7340CDDD" wp14:editId="6F393B61">
          <wp:extent cx="2051503" cy="679450"/>
          <wp:effectExtent l="0" t="0" r="635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4288" cy="686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020E" w14:textId="77777777" w:rsidR="004A1EC3" w:rsidRDefault="004A1EC3" w:rsidP="001D555D">
      <w:r>
        <w:separator/>
      </w:r>
    </w:p>
  </w:footnote>
  <w:footnote w:type="continuationSeparator" w:id="0">
    <w:p w14:paraId="6A52110C" w14:textId="77777777" w:rsidR="004A1EC3" w:rsidRDefault="004A1EC3" w:rsidP="001D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7DF"/>
    <w:multiLevelType w:val="multilevel"/>
    <w:tmpl w:val="CE26F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B485F"/>
    <w:multiLevelType w:val="hybridMultilevel"/>
    <w:tmpl w:val="4A34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51F92"/>
    <w:multiLevelType w:val="hybridMultilevel"/>
    <w:tmpl w:val="966C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073B8"/>
    <w:multiLevelType w:val="multilevel"/>
    <w:tmpl w:val="35A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84C49"/>
    <w:multiLevelType w:val="hybridMultilevel"/>
    <w:tmpl w:val="89AC0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63463A"/>
    <w:multiLevelType w:val="multilevel"/>
    <w:tmpl w:val="AD8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46B3B"/>
    <w:multiLevelType w:val="multilevel"/>
    <w:tmpl w:val="EC2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A25BD"/>
    <w:multiLevelType w:val="hybridMultilevel"/>
    <w:tmpl w:val="DC867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4C0982"/>
    <w:multiLevelType w:val="hybridMultilevel"/>
    <w:tmpl w:val="BD3AF38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3B"/>
    <w:rsid w:val="00011460"/>
    <w:rsid w:val="00016812"/>
    <w:rsid w:val="0002489F"/>
    <w:rsid w:val="00024C3E"/>
    <w:rsid w:val="000366D1"/>
    <w:rsid w:val="00041080"/>
    <w:rsid w:val="000457C8"/>
    <w:rsid w:val="00056F8D"/>
    <w:rsid w:val="0006543B"/>
    <w:rsid w:val="00083707"/>
    <w:rsid w:val="00090BD0"/>
    <w:rsid w:val="00092167"/>
    <w:rsid w:val="000A1866"/>
    <w:rsid w:val="000A4F9B"/>
    <w:rsid w:val="000A7DEB"/>
    <w:rsid w:val="000B4C8B"/>
    <w:rsid w:val="000B66AB"/>
    <w:rsid w:val="000B7274"/>
    <w:rsid w:val="000C1E75"/>
    <w:rsid w:val="000C2B4E"/>
    <w:rsid w:val="00106C9B"/>
    <w:rsid w:val="00114392"/>
    <w:rsid w:val="00131539"/>
    <w:rsid w:val="001351CD"/>
    <w:rsid w:val="00142CC3"/>
    <w:rsid w:val="00156A0D"/>
    <w:rsid w:val="001601D1"/>
    <w:rsid w:val="00160481"/>
    <w:rsid w:val="0017702F"/>
    <w:rsid w:val="00177DD7"/>
    <w:rsid w:val="001810BB"/>
    <w:rsid w:val="0018676A"/>
    <w:rsid w:val="00191060"/>
    <w:rsid w:val="00192A83"/>
    <w:rsid w:val="00195A0B"/>
    <w:rsid w:val="001A1627"/>
    <w:rsid w:val="001A51BD"/>
    <w:rsid w:val="001B56A0"/>
    <w:rsid w:val="001B6A27"/>
    <w:rsid w:val="001C1934"/>
    <w:rsid w:val="001D555D"/>
    <w:rsid w:val="001E466F"/>
    <w:rsid w:val="001E6971"/>
    <w:rsid w:val="0023676C"/>
    <w:rsid w:val="00245EB5"/>
    <w:rsid w:val="00254070"/>
    <w:rsid w:val="00254189"/>
    <w:rsid w:val="00260CC2"/>
    <w:rsid w:val="00270F14"/>
    <w:rsid w:val="00273073"/>
    <w:rsid w:val="002A107D"/>
    <w:rsid w:val="002A43BB"/>
    <w:rsid w:val="002B72E5"/>
    <w:rsid w:val="002C1305"/>
    <w:rsid w:val="002D0410"/>
    <w:rsid w:val="002E4AF5"/>
    <w:rsid w:val="002F1059"/>
    <w:rsid w:val="002F1A74"/>
    <w:rsid w:val="002F3FC8"/>
    <w:rsid w:val="002F7C6A"/>
    <w:rsid w:val="003048B8"/>
    <w:rsid w:val="003155C6"/>
    <w:rsid w:val="00344EE0"/>
    <w:rsid w:val="00344F52"/>
    <w:rsid w:val="0037325E"/>
    <w:rsid w:val="00393724"/>
    <w:rsid w:val="003A19C3"/>
    <w:rsid w:val="003B0988"/>
    <w:rsid w:val="003D22C6"/>
    <w:rsid w:val="003D2EC0"/>
    <w:rsid w:val="003D43C6"/>
    <w:rsid w:val="003D68E1"/>
    <w:rsid w:val="003D7DE9"/>
    <w:rsid w:val="003E64C4"/>
    <w:rsid w:val="003F63C6"/>
    <w:rsid w:val="00402CB8"/>
    <w:rsid w:val="00403E00"/>
    <w:rsid w:val="00406381"/>
    <w:rsid w:val="00443612"/>
    <w:rsid w:val="0045467F"/>
    <w:rsid w:val="00460058"/>
    <w:rsid w:val="00477B28"/>
    <w:rsid w:val="00481AB7"/>
    <w:rsid w:val="00481E19"/>
    <w:rsid w:val="00486E9F"/>
    <w:rsid w:val="004A1EC3"/>
    <w:rsid w:val="004A36A9"/>
    <w:rsid w:val="004B31D2"/>
    <w:rsid w:val="004B35F2"/>
    <w:rsid w:val="004B62B0"/>
    <w:rsid w:val="004D2F89"/>
    <w:rsid w:val="004D6723"/>
    <w:rsid w:val="004D7AE7"/>
    <w:rsid w:val="004E7B97"/>
    <w:rsid w:val="004F4436"/>
    <w:rsid w:val="00504271"/>
    <w:rsid w:val="00514449"/>
    <w:rsid w:val="005273A3"/>
    <w:rsid w:val="00535253"/>
    <w:rsid w:val="00540517"/>
    <w:rsid w:val="00544FE7"/>
    <w:rsid w:val="005538AC"/>
    <w:rsid w:val="0059242F"/>
    <w:rsid w:val="005B06F7"/>
    <w:rsid w:val="005B1C25"/>
    <w:rsid w:val="005D1724"/>
    <w:rsid w:val="00600268"/>
    <w:rsid w:val="00606F38"/>
    <w:rsid w:val="006102FC"/>
    <w:rsid w:val="00614509"/>
    <w:rsid w:val="00615A0A"/>
    <w:rsid w:val="00627DDA"/>
    <w:rsid w:val="00673E5F"/>
    <w:rsid w:val="00675EE3"/>
    <w:rsid w:val="00691BC8"/>
    <w:rsid w:val="0069600F"/>
    <w:rsid w:val="006A2CED"/>
    <w:rsid w:val="006C5F51"/>
    <w:rsid w:val="006D5036"/>
    <w:rsid w:val="006D53D1"/>
    <w:rsid w:val="006E1711"/>
    <w:rsid w:val="006F5A7E"/>
    <w:rsid w:val="00711A9F"/>
    <w:rsid w:val="00714F9B"/>
    <w:rsid w:val="007450E2"/>
    <w:rsid w:val="007578B4"/>
    <w:rsid w:val="00760638"/>
    <w:rsid w:val="00763DCA"/>
    <w:rsid w:val="00767AE5"/>
    <w:rsid w:val="00772A1B"/>
    <w:rsid w:val="00774B35"/>
    <w:rsid w:val="00774B80"/>
    <w:rsid w:val="0077782D"/>
    <w:rsid w:val="007845AD"/>
    <w:rsid w:val="0079376D"/>
    <w:rsid w:val="007C6358"/>
    <w:rsid w:val="007E4800"/>
    <w:rsid w:val="007F738F"/>
    <w:rsid w:val="007F7F3B"/>
    <w:rsid w:val="00804219"/>
    <w:rsid w:val="00810B89"/>
    <w:rsid w:val="00832FDA"/>
    <w:rsid w:val="00835696"/>
    <w:rsid w:val="00836927"/>
    <w:rsid w:val="0084667B"/>
    <w:rsid w:val="00847BE3"/>
    <w:rsid w:val="00850EFA"/>
    <w:rsid w:val="00857A7F"/>
    <w:rsid w:val="00882875"/>
    <w:rsid w:val="0088391A"/>
    <w:rsid w:val="00891D9E"/>
    <w:rsid w:val="008A3B40"/>
    <w:rsid w:val="008B30E8"/>
    <w:rsid w:val="008B37F5"/>
    <w:rsid w:val="008B772B"/>
    <w:rsid w:val="008D0891"/>
    <w:rsid w:val="008D1C56"/>
    <w:rsid w:val="008E619C"/>
    <w:rsid w:val="008E6B7B"/>
    <w:rsid w:val="008F082B"/>
    <w:rsid w:val="00900630"/>
    <w:rsid w:val="00902C40"/>
    <w:rsid w:val="00906006"/>
    <w:rsid w:val="00912E11"/>
    <w:rsid w:val="00923E92"/>
    <w:rsid w:val="00947647"/>
    <w:rsid w:val="009519FF"/>
    <w:rsid w:val="0095238E"/>
    <w:rsid w:val="00952E60"/>
    <w:rsid w:val="00975E21"/>
    <w:rsid w:val="0098402F"/>
    <w:rsid w:val="009912B4"/>
    <w:rsid w:val="009962FE"/>
    <w:rsid w:val="009A6D03"/>
    <w:rsid w:val="009C1FB5"/>
    <w:rsid w:val="009C2535"/>
    <w:rsid w:val="009D16A1"/>
    <w:rsid w:val="009E27BD"/>
    <w:rsid w:val="009F2B02"/>
    <w:rsid w:val="00A2451A"/>
    <w:rsid w:val="00A31DA5"/>
    <w:rsid w:val="00A376D9"/>
    <w:rsid w:val="00A527B2"/>
    <w:rsid w:val="00A61CB0"/>
    <w:rsid w:val="00A62D1A"/>
    <w:rsid w:val="00A65385"/>
    <w:rsid w:val="00A76B76"/>
    <w:rsid w:val="00A8658C"/>
    <w:rsid w:val="00AC4164"/>
    <w:rsid w:val="00AD3183"/>
    <w:rsid w:val="00AD65FB"/>
    <w:rsid w:val="00AD7179"/>
    <w:rsid w:val="00AE036E"/>
    <w:rsid w:val="00AE0A58"/>
    <w:rsid w:val="00B0293C"/>
    <w:rsid w:val="00B0369C"/>
    <w:rsid w:val="00B07A24"/>
    <w:rsid w:val="00B120A9"/>
    <w:rsid w:val="00B15567"/>
    <w:rsid w:val="00B4348B"/>
    <w:rsid w:val="00B44C12"/>
    <w:rsid w:val="00B56891"/>
    <w:rsid w:val="00B64500"/>
    <w:rsid w:val="00B655CA"/>
    <w:rsid w:val="00B65A14"/>
    <w:rsid w:val="00B74636"/>
    <w:rsid w:val="00B866B8"/>
    <w:rsid w:val="00B96DEC"/>
    <w:rsid w:val="00BC3EFD"/>
    <w:rsid w:val="00BC729F"/>
    <w:rsid w:val="00BF7438"/>
    <w:rsid w:val="00C07CF6"/>
    <w:rsid w:val="00C16418"/>
    <w:rsid w:val="00C17EBF"/>
    <w:rsid w:val="00C20CA6"/>
    <w:rsid w:val="00C40C4A"/>
    <w:rsid w:val="00C50638"/>
    <w:rsid w:val="00C506F1"/>
    <w:rsid w:val="00C50CAB"/>
    <w:rsid w:val="00C531A3"/>
    <w:rsid w:val="00C620DA"/>
    <w:rsid w:val="00C72BB7"/>
    <w:rsid w:val="00C84A98"/>
    <w:rsid w:val="00C965BF"/>
    <w:rsid w:val="00CA4C1F"/>
    <w:rsid w:val="00CA507F"/>
    <w:rsid w:val="00CA6BF8"/>
    <w:rsid w:val="00CB0827"/>
    <w:rsid w:val="00CC41FC"/>
    <w:rsid w:val="00CD0F16"/>
    <w:rsid w:val="00CD6EC8"/>
    <w:rsid w:val="00CE77CA"/>
    <w:rsid w:val="00D24DEE"/>
    <w:rsid w:val="00D42DAB"/>
    <w:rsid w:val="00D47523"/>
    <w:rsid w:val="00D503CE"/>
    <w:rsid w:val="00D51F8D"/>
    <w:rsid w:val="00D53085"/>
    <w:rsid w:val="00D76F2D"/>
    <w:rsid w:val="00D839E2"/>
    <w:rsid w:val="00DA2BF1"/>
    <w:rsid w:val="00DA2EA1"/>
    <w:rsid w:val="00DB03A0"/>
    <w:rsid w:val="00DB643F"/>
    <w:rsid w:val="00DC18E5"/>
    <w:rsid w:val="00DC242D"/>
    <w:rsid w:val="00DE057C"/>
    <w:rsid w:val="00DF519D"/>
    <w:rsid w:val="00E1620C"/>
    <w:rsid w:val="00E26E91"/>
    <w:rsid w:val="00E27E8A"/>
    <w:rsid w:val="00E33343"/>
    <w:rsid w:val="00E40831"/>
    <w:rsid w:val="00E52A24"/>
    <w:rsid w:val="00E70E3F"/>
    <w:rsid w:val="00E76713"/>
    <w:rsid w:val="00E8184E"/>
    <w:rsid w:val="00EA2D54"/>
    <w:rsid w:val="00EB36DF"/>
    <w:rsid w:val="00EB4EF9"/>
    <w:rsid w:val="00EF2410"/>
    <w:rsid w:val="00EF43B9"/>
    <w:rsid w:val="00F139F5"/>
    <w:rsid w:val="00F14EF6"/>
    <w:rsid w:val="00F150A4"/>
    <w:rsid w:val="00F203E1"/>
    <w:rsid w:val="00F3193A"/>
    <w:rsid w:val="00F338F2"/>
    <w:rsid w:val="00F34DB6"/>
    <w:rsid w:val="00F57A31"/>
    <w:rsid w:val="00F61226"/>
    <w:rsid w:val="00F773D0"/>
    <w:rsid w:val="00F812FB"/>
    <w:rsid w:val="00F83759"/>
    <w:rsid w:val="00FA014D"/>
    <w:rsid w:val="00FB1963"/>
    <w:rsid w:val="00FB41EB"/>
    <w:rsid w:val="00FB44B6"/>
    <w:rsid w:val="00FC1184"/>
    <w:rsid w:val="00FC43AE"/>
    <w:rsid w:val="00FC57B9"/>
    <w:rsid w:val="00FD03E1"/>
    <w:rsid w:val="01D3047F"/>
    <w:rsid w:val="025BC36D"/>
    <w:rsid w:val="036ED4E0"/>
    <w:rsid w:val="041CAFE4"/>
    <w:rsid w:val="05356E98"/>
    <w:rsid w:val="07180471"/>
    <w:rsid w:val="0CB498E5"/>
    <w:rsid w:val="0D871FEB"/>
    <w:rsid w:val="0D8745F5"/>
    <w:rsid w:val="0DB9D2FD"/>
    <w:rsid w:val="0E506946"/>
    <w:rsid w:val="0ECF807B"/>
    <w:rsid w:val="104C0027"/>
    <w:rsid w:val="13F68779"/>
    <w:rsid w:val="1493C770"/>
    <w:rsid w:val="159257DA"/>
    <w:rsid w:val="15C86577"/>
    <w:rsid w:val="17C348D6"/>
    <w:rsid w:val="18567094"/>
    <w:rsid w:val="18C4BF89"/>
    <w:rsid w:val="1A850F9F"/>
    <w:rsid w:val="1D73A1F6"/>
    <w:rsid w:val="1F878566"/>
    <w:rsid w:val="21005607"/>
    <w:rsid w:val="222F7F9B"/>
    <w:rsid w:val="22609B0A"/>
    <w:rsid w:val="2272D778"/>
    <w:rsid w:val="253D8EC2"/>
    <w:rsid w:val="287DE5A2"/>
    <w:rsid w:val="29B8BEBE"/>
    <w:rsid w:val="2A1BA367"/>
    <w:rsid w:val="2BA42526"/>
    <w:rsid w:val="2EE4ADD6"/>
    <w:rsid w:val="2F105C43"/>
    <w:rsid w:val="3031E606"/>
    <w:rsid w:val="30E2208C"/>
    <w:rsid w:val="3120ACB7"/>
    <w:rsid w:val="3221E09D"/>
    <w:rsid w:val="330F2C2D"/>
    <w:rsid w:val="34B2B80D"/>
    <w:rsid w:val="35A21E0D"/>
    <w:rsid w:val="35CE5918"/>
    <w:rsid w:val="3BA010D5"/>
    <w:rsid w:val="3C49BD36"/>
    <w:rsid w:val="3E06C1C2"/>
    <w:rsid w:val="3EB31BEA"/>
    <w:rsid w:val="3FD5437B"/>
    <w:rsid w:val="413BCCC3"/>
    <w:rsid w:val="41E7D640"/>
    <w:rsid w:val="42F08648"/>
    <w:rsid w:val="434C0B9F"/>
    <w:rsid w:val="43842DA3"/>
    <w:rsid w:val="439CCADC"/>
    <w:rsid w:val="44A15146"/>
    <w:rsid w:val="451B7AF3"/>
    <w:rsid w:val="451CB027"/>
    <w:rsid w:val="45EB1C29"/>
    <w:rsid w:val="464F146E"/>
    <w:rsid w:val="4A865345"/>
    <w:rsid w:val="4A95A81A"/>
    <w:rsid w:val="4AE0B6CB"/>
    <w:rsid w:val="4B7981A0"/>
    <w:rsid w:val="4C4AA9D1"/>
    <w:rsid w:val="4EA20B79"/>
    <w:rsid w:val="50C73961"/>
    <w:rsid w:val="5199E671"/>
    <w:rsid w:val="520E695E"/>
    <w:rsid w:val="52A8AD0C"/>
    <w:rsid w:val="52D49891"/>
    <w:rsid w:val="549A9FB8"/>
    <w:rsid w:val="5571C854"/>
    <w:rsid w:val="584144EA"/>
    <w:rsid w:val="5874FFC2"/>
    <w:rsid w:val="5AE797FC"/>
    <w:rsid w:val="5B487749"/>
    <w:rsid w:val="5C83685D"/>
    <w:rsid w:val="5C99E1A4"/>
    <w:rsid w:val="5DEB8E04"/>
    <w:rsid w:val="5E474F68"/>
    <w:rsid w:val="5FAF2E37"/>
    <w:rsid w:val="6045F892"/>
    <w:rsid w:val="647429E2"/>
    <w:rsid w:val="64889764"/>
    <w:rsid w:val="6C35A152"/>
    <w:rsid w:val="6CF83738"/>
    <w:rsid w:val="6E5F3F8E"/>
    <w:rsid w:val="6F4F98E0"/>
    <w:rsid w:val="6F618190"/>
    <w:rsid w:val="7005C128"/>
    <w:rsid w:val="72A096C5"/>
    <w:rsid w:val="72DEEBF0"/>
    <w:rsid w:val="73AEF191"/>
    <w:rsid w:val="73DBCF60"/>
    <w:rsid w:val="748661F4"/>
    <w:rsid w:val="76274610"/>
    <w:rsid w:val="77340FFE"/>
    <w:rsid w:val="777407E8"/>
    <w:rsid w:val="77CB03F7"/>
    <w:rsid w:val="78B6D964"/>
    <w:rsid w:val="79F7DA99"/>
    <w:rsid w:val="7AEF1F73"/>
    <w:rsid w:val="7B9E642E"/>
    <w:rsid w:val="7F26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5147"/>
  <w14:defaultImageDpi w14:val="32767"/>
  <w15:chartTrackingRefBased/>
  <w15:docId w15:val="{21A691C5-7DC1-F146-B518-FF5AC11B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A3"/>
    <w:pPr>
      <w:ind w:left="720"/>
      <w:contextualSpacing/>
    </w:pPr>
  </w:style>
  <w:style w:type="character" w:customStyle="1" w:styleId="markrmjowd5uf">
    <w:name w:val="markrmjowd5uf"/>
    <w:basedOn w:val="DefaultParagraphFont"/>
    <w:rsid w:val="001B6A27"/>
  </w:style>
  <w:style w:type="character" w:customStyle="1" w:styleId="mark5u8121ygk">
    <w:name w:val="mark5u8121ygk"/>
    <w:basedOn w:val="DefaultParagraphFont"/>
    <w:rsid w:val="001B6A27"/>
  </w:style>
  <w:style w:type="paragraph" w:styleId="NormalWeb">
    <w:name w:val="Normal (Web)"/>
    <w:basedOn w:val="Normal"/>
    <w:uiPriority w:val="99"/>
    <w:semiHidden/>
    <w:unhideWhenUsed/>
    <w:rsid w:val="00B15567"/>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1D555D"/>
    <w:pPr>
      <w:tabs>
        <w:tab w:val="center" w:pos="4513"/>
        <w:tab w:val="right" w:pos="9026"/>
      </w:tabs>
    </w:pPr>
  </w:style>
  <w:style w:type="character" w:customStyle="1" w:styleId="HeaderChar">
    <w:name w:val="Header Char"/>
    <w:basedOn w:val="DefaultParagraphFont"/>
    <w:link w:val="Header"/>
    <w:uiPriority w:val="99"/>
    <w:rsid w:val="001D555D"/>
  </w:style>
  <w:style w:type="paragraph" w:styleId="Footer">
    <w:name w:val="footer"/>
    <w:basedOn w:val="Normal"/>
    <w:link w:val="FooterChar"/>
    <w:uiPriority w:val="99"/>
    <w:unhideWhenUsed/>
    <w:rsid w:val="001D555D"/>
    <w:pPr>
      <w:tabs>
        <w:tab w:val="center" w:pos="4513"/>
        <w:tab w:val="right" w:pos="9026"/>
      </w:tabs>
    </w:pPr>
  </w:style>
  <w:style w:type="character" w:customStyle="1" w:styleId="FooterChar">
    <w:name w:val="Footer Char"/>
    <w:basedOn w:val="DefaultParagraphFont"/>
    <w:link w:val="Footer"/>
    <w:uiPriority w:val="99"/>
    <w:rsid w:val="001D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857">
      <w:bodyDiv w:val="1"/>
      <w:marLeft w:val="0"/>
      <w:marRight w:val="0"/>
      <w:marTop w:val="0"/>
      <w:marBottom w:val="0"/>
      <w:divBdr>
        <w:top w:val="none" w:sz="0" w:space="0" w:color="auto"/>
        <w:left w:val="none" w:sz="0" w:space="0" w:color="auto"/>
        <w:bottom w:val="none" w:sz="0" w:space="0" w:color="auto"/>
        <w:right w:val="none" w:sz="0" w:space="0" w:color="auto"/>
      </w:divBdr>
    </w:div>
    <w:div w:id="1357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FCF5618205A4CAD13A0AF6049B657" ma:contentTypeVersion="9" ma:contentTypeDescription="Create a new document." ma:contentTypeScope="" ma:versionID="9abf14084ac0514cdcfe54912791bf17">
  <xsd:schema xmlns:xsd="http://www.w3.org/2001/XMLSchema" xmlns:xs="http://www.w3.org/2001/XMLSchema" xmlns:p="http://schemas.microsoft.com/office/2006/metadata/properties" xmlns:ns2="6be34051-207f-4a87-99e6-3877c8f84385" targetNamespace="http://schemas.microsoft.com/office/2006/metadata/properties" ma:root="true" ma:fieldsID="72eff949337a126c08b2237a0d93159a" ns2:_="">
    <xsd:import namespace="6be34051-207f-4a87-99e6-3877c8f84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34051-207f-4a87-99e6-3877c8f84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DA824-0549-47D0-8775-245B6A40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34051-207f-4a87-99e6-3877c8f84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B9B07-F75B-4CD2-910D-B0875052F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A581C-5DE6-48EA-B350-D0DD33C00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Bertini</dc:creator>
  <cp:keywords/>
  <dc:description/>
  <cp:lastModifiedBy>Mariam Foum</cp:lastModifiedBy>
  <cp:revision>5</cp:revision>
  <dcterms:created xsi:type="dcterms:W3CDTF">2021-05-23T11:42:00Z</dcterms:created>
  <dcterms:modified xsi:type="dcterms:W3CDTF">2021-05-27T10:57:00Z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0x010100E20FCF5618205A4CAD13A0AF6049B657</vt:lpwstr>
  </property>
</Properties>
</file>